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</w:t>
      </w:r>
      <w:r>
        <w:rPr>
          <w:b/>
          <w:bCs/>
          <w:sz w:val="28"/>
          <w:szCs w:val="28"/>
        </w:rPr>
        <w:t xml:space="preserve"> постановления </w:t>
      </w:r>
      <w:r>
        <w:rPr>
          <w:b/>
          <w:bCs/>
          <w:sz w:val="28"/>
          <w:szCs w:val="28"/>
        </w:rPr>
        <w:t xml:space="preserve">администрации города Нижнего Новгорода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color w:val="000000" w:themeColor="text1"/>
          <w:sz w:val="28"/>
          <w:szCs w:val="28"/>
        </w:rPr>
        <w:t xml:space="preserve">Правил размещения информационных конструкций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на территории муниципального образования городской округ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город Нижний Новгород</w:t>
      </w:r>
      <w:r>
        <w:rPr>
          <w:b/>
          <w:bCs/>
          <w:sz w:val="28"/>
          <w:szCs w:val="28"/>
        </w:rPr>
        <w:t xml:space="preserve">»</w:t>
      </w:r>
      <w:r/>
      <w:r/>
    </w:p>
    <w:p>
      <w:pPr>
        <w:pStyle w:val="8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</w:rPr>
        <w:t xml:space="preserve">Правила размещения информационных кон</w:t>
      </w:r>
      <w:r>
        <w:rPr>
          <w:color w:val="000000" w:themeColor="text1"/>
          <w:sz w:val="28"/>
          <w:szCs w:val="28"/>
        </w:rPr>
        <w:t xml:space="preserve">струкций на территории муниципального образования городской округ город Нижний Новгород (далее - Правила) разработаны в целях создания условий для формирования комфортной среды для граждан и субъектов предпринимательской деятельности, в том числе через раз</w:t>
      </w:r>
      <w:r>
        <w:rPr>
          <w:color w:val="000000" w:themeColor="text1"/>
          <w:sz w:val="28"/>
          <w:szCs w:val="28"/>
        </w:rPr>
        <w:t xml:space="preserve">витие и стимулирование развития объектов стрит-ритейла, осуществления контроля за сохранением историко-градостроительной среды, сохранением архитектурного облика сложившейся застройки населенных пунктов и упорядочения размещения информационных конструкций </w:t>
      </w:r>
      <w:r>
        <w:rPr>
          <w:color w:val="000000" w:themeColor="text1"/>
          <w:sz w:val="28"/>
          <w:szCs w:val="28"/>
        </w:rPr>
        <w:t xml:space="preserve">на территории муниципального образования городской округ город Нижний Новгород</w:t>
      </w:r>
      <w:r>
        <w:rPr>
          <w:color w:val="000000" w:themeColor="text1"/>
          <w:sz w:val="28"/>
          <w:szCs w:val="28"/>
        </w:rPr>
        <w:t xml:space="preserve">.</w:t>
      </w:r>
      <w:r/>
      <w:r>
        <w:rPr>
          <w:color w:val="000000" w:themeColor="text1"/>
          <w:sz w:val="28"/>
          <w:szCs w:val="28"/>
          <w:highlight w:val="none"/>
        </w:rPr>
      </w:r>
    </w:p>
    <w:p>
      <w:pPr>
        <w:pStyle w:val="1_66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_663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Правила определяют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допустимые к размещению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типы и виды информационных конструкций,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 требования к размещению таких информационных конструкций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определяют порядок согласования размещения информационных конструкций и порядок демонтажа информационных конструкций, не соответствующих требованиям к их размещению,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образования городской округ город Ниж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ний Новгород.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9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Правила обязательны для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использования,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применения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соблюдения орга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нами местного самоуправления, а также всеми гражданами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юридическими лицами, осуществляющими или планирующими размещение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информационных конструкций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территории </w:t>
      </w:r>
      <w:r>
        <w:rPr>
          <w:rStyle w:val="842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городского округа город Нижний Новгород.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3"/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связи с изменением административно-территориального устройства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муниципального образования городской округ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 Нижн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Новгород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подготовлен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роект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утверждении </w:t>
      </w:r>
      <w:r>
        <w:rPr>
          <w:color w:val="000000" w:themeColor="text1"/>
          <w:sz w:val="28"/>
          <w:szCs w:val="28"/>
        </w:rPr>
        <w:t xml:space="preserve">Правил размещения информационных конструкций на территории муниципального образования городской округ город Нижний Новгород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Реализация Проекта не повлечет дополнительных затрат бюджета города Нижнего Новгорода.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Принятие правового акта не потребует внесения изменений в муниципальные нормативные правовые акты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0"/>
        <w:jc w:val="both"/>
      </w:pPr>
      <w:r/>
      <w:r/>
    </w:p>
    <w:p>
      <w:pPr>
        <w:pStyle w:val="840"/>
        <w:jc w:val="both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0"/>
        <w:gridCol w:w="436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0" w:type="dxa"/>
            <w:vAlign w:val="top"/>
            <w:textDirection w:val="lrTb"/>
            <w:noWrap w:val="false"/>
          </w:tcPr>
          <w:p>
            <w:pPr>
              <w:pStyle w:val="840"/>
              <w:jc w:val="both"/>
            </w:pPr>
            <w:r>
              <w:t xml:space="preserve">Директор департамента </w:t>
            </w:r>
            <w:r/>
          </w:p>
          <w:p>
            <w:pPr>
              <w:pStyle w:val="840"/>
              <w:jc w:val="both"/>
            </w:pPr>
            <w:r>
              <w:t xml:space="preserve">градостроительного развития и архитектуры </w:t>
            </w:r>
            <w:r/>
          </w:p>
          <w:p>
            <w:pPr>
              <w:pStyle w:val="840"/>
              <w:jc w:val="both"/>
            </w:pPr>
            <w:r>
              <w:t xml:space="preserve">администрации города Нижнего Новгорода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2" w:type="dxa"/>
            <w:vAlign w:val="top"/>
            <w:textDirection w:val="lrTb"/>
            <w:noWrap w:val="false"/>
          </w:tcPr>
          <w:p>
            <w:pPr>
              <w:pStyle w:val="840"/>
              <w:jc w:val="right"/>
            </w:pPr>
            <w:r>
              <w:t xml:space="preserve">          А.Н. Коновницына</w:t>
            </w:r>
            <w:r/>
          </w:p>
        </w:tc>
      </w:tr>
    </w:tbl>
    <w:p>
      <w:r/>
      <w:r/>
    </w:p>
    <w:sectPr>
      <w:footnotePr/>
      <w:endnotePr/>
      <w:type w:val="nextPage"/>
      <w:pgSz w:w="11907" w:h="16840" w:orient="portrait"/>
      <w:pgMar w:top="851" w:right="708" w:bottom="567" w:left="993" w:header="425" w:footer="72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imesNewRomanPSMT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lang w:val="ru-RU" w:eastAsia="ru-RU" w:bidi="ar-SA"/>
    </w:rPr>
  </w:style>
  <w:style w:type="paragraph" w:styleId="834">
    <w:name w:val="Заголовок 1"/>
    <w:basedOn w:val="833"/>
    <w:next w:val="833"/>
    <w:link w:val="83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35">
    <w:name w:val="Основной шрифт абзаца"/>
    <w:next w:val="835"/>
    <w:link w:val="833"/>
    <w:semiHidden/>
  </w:style>
  <w:style w:type="table" w:styleId="836">
    <w:name w:val="Обычная таблица"/>
    <w:next w:val="836"/>
    <w:link w:val="833"/>
    <w:semiHidden/>
    <w:tblPr/>
  </w:style>
  <w:style w:type="numbering" w:styleId="837">
    <w:name w:val="Нет списка"/>
    <w:next w:val="837"/>
    <w:link w:val="833"/>
    <w:semiHidden/>
  </w:style>
  <w:style w:type="character" w:styleId="838">
    <w:name w:val="Заголовок 1 Знак"/>
    <w:basedOn w:val="835"/>
    <w:next w:val="838"/>
    <w:link w:val="834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839">
    <w:name w:val="Основной текст"/>
    <w:basedOn w:val="833"/>
    <w:next w:val="839"/>
    <w:link w:val="833"/>
    <w:pPr>
      <w:jc w:val="both"/>
      <w:widowControl/>
    </w:pPr>
    <w:rPr>
      <w:sz w:val="28"/>
    </w:rPr>
  </w:style>
  <w:style w:type="paragraph" w:styleId="840">
    <w:name w:val="ConsPlusNormal"/>
    <w:next w:val="840"/>
    <w:link w:val="833"/>
    <w:rPr>
      <w:sz w:val="28"/>
      <w:szCs w:val="28"/>
      <w:lang w:val="ru-RU" w:eastAsia="ru-RU" w:bidi="ar-SA"/>
    </w:rPr>
  </w:style>
  <w:style w:type="paragraph" w:styleId="841">
    <w:name w:val="Текст выноски"/>
    <w:basedOn w:val="833"/>
    <w:next w:val="841"/>
    <w:link w:val="833"/>
    <w:semiHidden/>
    <w:rPr>
      <w:rFonts w:ascii="Tahoma" w:hAnsi="Tahoma" w:cs="Tahoma"/>
      <w:sz w:val="16"/>
      <w:szCs w:val="16"/>
    </w:rPr>
  </w:style>
  <w:style w:type="character" w:styleId="842">
    <w:name w:val="fontstyle01"/>
    <w:basedOn w:val="835"/>
    <w:next w:val="842"/>
    <w:link w:val="833"/>
    <w:rPr>
      <w:rFonts w:ascii="TimesNewRomanPSMT" w:hAnsi="TimesNewRomanPSMT"/>
      <w:color w:val="000000"/>
      <w:sz w:val="26"/>
      <w:szCs w:val="26"/>
    </w:rPr>
  </w:style>
  <w:style w:type="paragraph" w:styleId="843">
    <w:name w:val="Обычный (веб)"/>
    <w:basedOn w:val="833"/>
    <w:next w:val="843"/>
    <w:link w:val="833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character" w:styleId="844">
    <w:name w:val="Гиперссылка"/>
    <w:basedOn w:val="835"/>
    <w:next w:val="844"/>
    <w:link w:val="833"/>
    <w:uiPriority w:val="99"/>
    <w:unhideWhenUsed/>
    <w:rPr>
      <w:color w:val="0000ff"/>
      <w:u w:val="single"/>
    </w:rPr>
  </w:style>
  <w:style w:type="table" w:styleId="845">
    <w:name w:val="Сетка таблицы"/>
    <w:basedOn w:val="836"/>
    <w:next w:val="845"/>
    <w:link w:val="833"/>
    <w:tblPr/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  <w:style w:type="paragraph" w:styleId="1_66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ADMNN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*</dc:creator>
  <cp:lastModifiedBy>o.sunarchina</cp:lastModifiedBy>
  <cp:revision>11</cp:revision>
  <dcterms:created xsi:type="dcterms:W3CDTF">2017-07-12T13:14:00Z</dcterms:created>
  <dcterms:modified xsi:type="dcterms:W3CDTF">2026-02-09T10:56:33Z</dcterms:modified>
  <cp:version>786432</cp:version>
</cp:coreProperties>
</file>